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59" w:rsidRPr="00052263" w:rsidRDefault="00975759" w:rsidP="00975759">
      <w:pPr>
        <w:jc w:val="center"/>
        <w:rPr>
          <w:b/>
          <w:sz w:val="24"/>
        </w:rPr>
      </w:pPr>
      <w:r w:rsidRPr="00052263">
        <w:rPr>
          <w:b/>
          <w:sz w:val="24"/>
        </w:rPr>
        <w:t>浙江省科学技术奖公示信息表（单位提名）</w:t>
      </w:r>
    </w:p>
    <w:p w:rsidR="00975759" w:rsidRDefault="00975759" w:rsidP="00975759">
      <w:pPr>
        <w:spacing w:line="440" w:lineRule="exact"/>
        <w:rPr>
          <w:rFonts w:eastAsia="仿宋_GB2312"/>
          <w:sz w:val="28"/>
          <w:szCs w:val="24"/>
        </w:rPr>
      </w:pPr>
      <w:r>
        <w:rPr>
          <w:rFonts w:eastAsia="仿宋_GB2312"/>
          <w:sz w:val="28"/>
          <w:szCs w:val="24"/>
        </w:rPr>
        <w:t>提名奖项：（填自然科学奖、技术发明奖、科学技术进步奖）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975759" w:rsidTr="001C76C5">
        <w:trPr>
          <w:trHeight w:val="647"/>
        </w:trPr>
        <w:tc>
          <w:tcPr>
            <w:tcW w:w="2269" w:type="dxa"/>
            <w:vAlign w:val="center"/>
          </w:tcPr>
          <w:p w:rsidR="00975759" w:rsidRDefault="00975759" w:rsidP="001C76C5">
            <w:pPr>
              <w:jc w:val="center"/>
              <w:rPr>
                <w:rStyle w:val="title1"/>
                <w:rFonts w:eastAsia="仿宋_GB2312"/>
                <w:b w:val="0"/>
                <w:sz w:val="28"/>
              </w:rPr>
            </w:pPr>
            <w:r>
              <w:rPr>
                <w:rStyle w:val="title1"/>
                <w:rFonts w:eastAsia="仿宋_GB2312"/>
                <w:sz w:val="28"/>
              </w:rPr>
              <w:t>成果名称</w:t>
            </w:r>
          </w:p>
        </w:tc>
        <w:tc>
          <w:tcPr>
            <w:tcW w:w="6237" w:type="dxa"/>
            <w:vAlign w:val="center"/>
          </w:tcPr>
          <w:p w:rsidR="00975759" w:rsidRDefault="000D0FC4" w:rsidP="001C76C5">
            <w:pPr>
              <w:jc w:val="center"/>
              <w:rPr>
                <w:rStyle w:val="title1"/>
                <w:rFonts w:eastAsia="仿宋_GB2312"/>
                <w:b w:val="0"/>
                <w:sz w:val="28"/>
              </w:rPr>
            </w:pPr>
            <w:r w:rsidRPr="00052263">
              <w:rPr>
                <w:rFonts w:hint="eastAsia"/>
                <w:bCs/>
                <w:sz w:val="24"/>
              </w:rPr>
              <w:t>多种病原体快速联检分子诊断技术体系构建与应用</w:t>
            </w:r>
          </w:p>
        </w:tc>
      </w:tr>
      <w:tr w:rsidR="00975759" w:rsidTr="001C76C5">
        <w:trPr>
          <w:trHeight w:val="561"/>
        </w:trPr>
        <w:tc>
          <w:tcPr>
            <w:tcW w:w="2269" w:type="dxa"/>
            <w:vAlign w:val="center"/>
          </w:tcPr>
          <w:p w:rsidR="00975759" w:rsidRDefault="00975759" w:rsidP="001C76C5">
            <w:pPr>
              <w:jc w:val="center"/>
              <w:rPr>
                <w:rStyle w:val="title1"/>
                <w:rFonts w:eastAsia="仿宋_GB2312"/>
                <w:b w:val="0"/>
                <w:sz w:val="28"/>
              </w:rPr>
            </w:pPr>
            <w:r>
              <w:rPr>
                <w:rStyle w:val="title1"/>
                <w:rFonts w:eastAsia="仿宋_GB2312"/>
                <w:sz w:val="28"/>
              </w:rPr>
              <w:t>提名等级</w:t>
            </w:r>
          </w:p>
        </w:tc>
        <w:tc>
          <w:tcPr>
            <w:tcW w:w="6237" w:type="dxa"/>
            <w:vAlign w:val="center"/>
          </w:tcPr>
          <w:p w:rsidR="00975759" w:rsidRDefault="000D0FC4" w:rsidP="001C76C5">
            <w:pPr>
              <w:jc w:val="center"/>
              <w:rPr>
                <w:rStyle w:val="title1"/>
                <w:rFonts w:eastAsia="仿宋_GB2312"/>
                <w:b w:val="0"/>
                <w:sz w:val="28"/>
              </w:rPr>
            </w:pPr>
            <w:r w:rsidRPr="00052263">
              <w:rPr>
                <w:rFonts w:hint="eastAsia"/>
                <w:bCs/>
                <w:sz w:val="24"/>
              </w:rPr>
              <w:t>二等奖</w:t>
            </w:r>
          </w:p>
        </w:tc>
      </w:tr>
      <w:tr w:rsidR="00975759" w:rsidTr="001C76C5">
        <w:trPr>
          <w:trHeight w:val="2461"/>
        </w:trPr>
        <w:tc>
          <w:tcPr>
            <w:tcW w:w="2269" w:type="dxa"/>
            <w:vAlign w:val="center"/>
          </w:tcPr>
          <w:p w:rsidR="00975759" w:rsidRPr="001438F5" w:rsidRDefault="00975759" w:rsidP="001438F5">
            <w:pPr>
              <w:jc w:val="center"/>
              <w:rPr>
                <w:rStyle w:val="title1"/>
                <w:bCs w:val="0"/>
                <w:sz w:val="28"/>
              </w:rPr>
            </w:pPr>
            <w:r w:rsidRPr="001438F5">
              <w:rPr>
                <w:rStyle w:val="title1"/>
                <w:bCs w:val="0"/>
                <w:sz w:val="28"/>
              </w:rPr>
              <w:t>提名书</w:t>
            </w:r>
          </w:p>
          <w:p w:rsidR="00975759" w:rsidRDefault="00975759" w:rsidP="001438F5">
            <w:pPr>
              <w:jc w:val="center"/>
              <w:rPr>
                <w:rFonts w:eastAsia="仿宋_GB2312"/>
                <w:bCs/>
                <w:sz w:val="28"/>
                <w:szCs w:val="24"/>
              </w:rPr>
            </w:pPr>
            <w:r w:rsidRPr="001438F5">
              <w:rPr>
                <w:rStyle w:val="title1"/>
                <w:bCs w:val="0"/>
                <w:sz w:val="28"/>
              </w:rPr>
              <w:t>相关内容</w:t>
            </w:r>
          </w:p>
        </w:tc>
        <w:tc>
          <w:tcPr>
            <w:tcW w:w="6237" w:type="dxa"/>
            <w:vAlign w:val="center"/>
          </w:tcPr>
          <w:p w:rsidR="00C34A58" w:rsidRPr="00052263" w:rsidRDefault="00C34A58" w:rsidP="00052263">
            <w:pPr>
              <w:pStyle w:val="a6"/>
              <w:numPr>
                <w:ilvl w:val="0"/>
                <w:numId w:val="1"/>
              </w:numPr>
              <w:ind w:firstLineChars="0"/>
              <w:rPr>
                <w:szCs w:val="21"/>
              </w:rPr>
            </w:pPr>
            <w:r w:rsidRPr="00052263">
              <w:rPr>
                <w:rFonts w:hAnsi="宋体"/>
                <w:szCs w:val="21"/>
              </w:rPr>
              <w:t>发明专利：检测小儿肺炎三种病原体的四重荧光定量</w:t>
            </w:r>
            <w:r w:rsidRPr="00052263">
              <w:rPr>
                <w:szCs w:val="21"/>
              </w:rPr>
              <w:t>PCR</w:t>
            </w:r>
            <w:r w:rsidRPr="00052263">
              <w:rPr>
                <w:rFonts w:hAnsi="宋体"/>
                <w:szCs w:val="21"/>
              </w:rPr>
              <w:t>试剂盒</w:t>
            </w:r>
            <w:r w:rsidRPr="00052263">
              <w:rPr>
                <w:szCs w:val="21"/>
              </w:rPr>
              <w:t xml:space="preserve">. </w:t>
            </w:r>
          </w:p>
          <w:p w:rsidR="00C34A58" w:rsidRPr="00052263" w:rsidRDefault="00C34A58" w:rsidP="00052263">
            <w:pPr>
              <w:pStyle w:val="a6"/>
              <w:numPr>
                <w:ilvl w:val="0"/>
                <w:numId w:val="1"/>
              </w:numPr>
              <w:ind w:firstLineChars="0"/>
              <w:rPr>
                <w:szCs w:val="21"/>
              </w:rPr>
            </w:pPr>
            <w:r w:rsidRPr="00052263">
              <w:rPr>
                <w:rFonts w:hAnsi="宋体"/>
                <w:szCs w:val="21"/>
              </w:rPr>
              <w:t>发明专利：快速联检四种难培养鉴定细菌的多重定量</w:t>
            </w:r>
            <w:r w:rsidRPr="00052263">
              <w:rPr>
                <w:szCs w:val="21"/>
              </w:rPr>
              <w:t>PCR</w:t>
            </w:r>
            <w:r w:rsidRPr="00052263">
              <w:rPr>
                <w:rFonts w:hAnsi="宋体"/>
                <w:szCs w:val="21"/>
              </w:rPr>
              <w:t>试剂盒</w:t>
            </w:r>
            <w:r w:rsidRPr="00052263">
              <w:rPr>
                <w:szCs w:val="21"/>
              </w:rPr>
              <w:t>.</w:t>
            </w:r>
          </w:p>
          <w:p w:rsidR="00C34A58" w:rsidRPr="00052263" w:rsidRDefault="00C34A58" w:rsidP="00052263">
            <w:pPr>
              <w:pStyle w:val="a6"/>
              <w:numPr>
                <w:ilvl w:val="0"/>
                <w:numId w:val="1"/>
              </w:numPr>
              <w:ind w:firstLineChars="0"/>
              <w:rPr>
                <w:szCs w:val="21"/>
              </w:rPr>
            </w:pPr>
            <w:r w:rsidRPr="00052263">
              <w:rPr>
                <w:rFonts w:hAnsi="宋体"/>
                <w:szCs w:val="21"/>
              </w:rPr>
              <w:t>发明专利：一种联检四种呼吸道病毒的多重逆转录定量</w:t>
            </w:r>
            <w:r w:rsidRPr="00052263">
              <w:rPr>
                <w:szCs w:val="21"/>
              </w:rPr>
              <w:t>PCR</w:t>
            </w:r>
            <w:r w:rsidRPr="00052263">
              <w:rPr>
                <w:rFonts w:hAnsi="宋体"/>
                <w:szCs w:val="21"/>
              </w:rPr>
              <w:t>试剂盒</w:t>
            </w:r>
            <w:r w:rsidRPr="00052263">
              <w:rPr>
                <w:szCs w:val="21"/>
              </w:rPr>
              <w:t xml:space="preserve">. </w:t>
            </w:r>
          </w:p>
          <w:p w:rsidR="00C34A58" w:rsidRPr="00052263" w:rsidRDefault="00C34A58" w:rsidP="00052263">
            <w:pPr>
              <w:pStyle w:val="a6"/>
              <w:numPr>
                <w:ilvl w:val="0"/>
                <w:numId w:val="1"/>
              </w:numPr>
              <w:ind w:firstLineChars="0"/>
              <w:rPr>
                <w:szCs w:val="21"/>
              </w:rPr>
            </w:pPr>
            <w:r w:rsidRPr="00052263">
              <w:rPr>
                <w:rFonts w:hAnsi="宋体"/>
                <w:szCs w:val="21"/>
              </w:rPr>
              <w:t>发明专利：一种人乳头瘤病毒常见型四重荧光定量</w:t>
            </w:r>
            <w:r w:rsidRPr="00052263">
              <w:rPr>
                <w:szCs w:val="21"/>
              </w:rPr>
              <w:t>PCR</w:t>
            </w:r>
            <w:r w:rsidRPr="00052263">
              <w:rPr>
                <w:rFonts w:hAnsi="宋体"/>
                <w:szCs w:val="21"/>
              </w:rPr>
              <w:t>分型检测方法</w:t>
            </w:r>
          </w:p>
          <w:p w:rsidR="00C34A58" w:rsidRPr="00052263" w:rsidRDefault="00C34A58" w:rsidP="00052263">
            <w:pPr>
              <w:numPr>
                <w:ilvl w:val="0"/>
                <w:numId w:val="1"/>
              </w:numPr>
              <w:autoSpaceDE w:val="0"/>
              <w:autoSpaceDN w:val="0"/>
              <w:adjustRightInd w:val="0"/>
              <w:jc w:val="left"/>
              <w:rPr>
                <w:szCs w:val="21"/>
              </w:rPr>
            </w:pPr>
            <w:r w:rsidRPr="00052263">
              <w:rPr>
                <w:szCs w:val="21"/>
              </w:rPr>
              <w:t>Jiahui Jiang,Xiaolei Wang,Tongtong Cheng,Mingyue Han, Xinxin Wu,Haitong Wan, DaojunYu.</w:t>
            </w:r>
            <w:r w:rsidRPr="00052263">
              <w:rPr>
                <w:color w:val="000000"/>
                <w:szCs w:val="21"/>
                <w:shd w:val="clear" w:color="auto" w:fill="FFFFFF"/>
              </w:rPr>
              <w:t xml:space="preserve"> Dynamic monitoring of strem-1 and other biomarkers in acute cholangitis. </w:t>
            </w:r>
            <w:r w:rsidRPr="00052263">
              <w:rPr>
                <w:i/>
                <w:iCs/>
                <w:color w:val="000000"/>
                <w:szCs w:val="21"/>
                <w:shd w:val="clear" w:color="auto" w:fill="FFFFFF"/>
              </w:rPr>
              <w:t>Mediators of Inflammation,</w:t>
            </w:r>
            <w:r w:rsidRPr="00052263">
              <w:rPr>
                <w:color w:val="000000"/>
                <w:szCs w:val="21"/>
                <w:shd w:val="clear" w:color="auto" w:fill="FFFFFF"/>
              </w:rPr>
              <w:t> </w:t>
            </w:r>
            <w:r w:rsidRPr="00052263">
              <w:rPr>
                <w:i/>
                <w:iCs/>
                <w:color w:val="000000"/>
                <w:szCs w:val="21"/>
                <w:shd w:val="clear" w:color="auto" w:fill="FFFFFF"/>
              </w:rPr>
              <w:t>2020</w:t>
            </w:r>
            <w:r w:rsidRPr="00052263">
              <w:rPr>
                <w:color w:val="000000"/>
                <w:szCs w:val="21"/>
                <w:shd w:val="clear" w:color="auto" w:fill="FFFFFF"/>
              </w:rPr>
              <w:t xml:space="preserve">(10), 1-14. </w:t>
            </w:r>
            <w:hyperlink r:id="rId7" w:history="1">
              <w:r w:rsidRPr="00052263">
                <w:rPr>
                  <w:rStyle w:val="a5"/>
                  <w:sz w:val="21"/>
                  <w:szCs w:val="21"/>
                </w:rPr>
                <w:t>https://doi.org/10.1155/2020/8203813</w:t>
              </w:r>
            </w:hyperlink>
            <w:r w:rsidRPr="00052263">
              <w:rPr>
                <w:szCs w:val="21"/>
              </w:rPr>
              <w:t xml:space="preserve">   </w:t>
            </w:r>
          </w:p>
          <w:p w:rsidR="00C34A58" w:rsidRPr="00052263" w:rsidRDefault="00C34A58" w:rsidP="00052263">
            <w:pPr>
              <w:pStyle w:val="desc"/>
              <w:numPr>
                <w:ilvl w:val="0"/>
                <w:numId w:val="1"/>
              </w:numPr>
              <w:shd w:val="clear" w:color="auto" w:fill="FFFFFF"/>
              <w:spacing w:before="0" w:beforeAutospacing="0" w:after="0" w:afterAutospacing="0"/>
              <w:rPr>
                <w:rFonts w:ascii="Times New Roman" w:hAnsi="Times New Roman" w:cs="Times New Roman"/>
                <w:sz w:val="21"/>
                <w:szCs w:val="21"/>
              </w:rPr>
            </w:pPr>
            <w:r w:rsidRPr="00052263">
              <w:rPr>
                <w:rFonts w:ascii="Times New Roman" w:hAnsi="Times New Roman" w:cs="Times New Roman"/>
                <w:sz w:val="21"/>
                <w:szCs w:val="21"/>
              </w:rPr>
              <w:t xml:space="preserve">Ping Pan,Weifeng Jin,Xiaohong Li,Yi Chen,Jiahui Jiang,Haitong Wan,Daojun Yu </w:t>
            </w:r>
            <w:r w:rsidRPr="00052263">
              <w:rPr>
                <w:rFonts w:ascii="Times New Roman" w:hAnsi="Times New Roman" w:cs="Times New Roman"/>
                <w:kern w:val="2"/>
                <w:sz w:val="21"/>
                <w:szCs w:val="21"/>
              </w:rPr>
              <w:t xml:space="preserve">Optimization of multiplex quantitative polymerase chain reaction based on response surface methodology and an artificial neural network-genetic algorithm approach.PLoS One. 2018 Jul 25;13(7):e0200962. </w:t>
            </w:r>
          </w:p>
          <w:p w:rsidR="00C34A58" w:rsidRPr="00052263" w:rsidRDefault="00C34A58" w:rsidP="00052263">
            <w:pPr>
              <w:numPr>
                <w:ilvl w:val="0"/>
                <w:numId w:val="1"/>
              </w:numPr>
              <w:rPr>
                <w:szCs w:val="21"/>
              </w:rPr>
            </w:pPr>
            <w:r w:rsidRPr="00052263">
              <w:rPr>
                <w:szCs w:val="21"/>
              </w:rPr>
              <w:t xml:space="preserve">Hui He, Rongqun Li, Yi Chen, Ping Pan, Wenjuan Tong, Xueyan Dong, Yueming Chen, Daojun Yu.Integrated DNA and RNA extraction using magnetic beads from viral pathogens causing acute respiratory infections. Scientific Reports ,2017,7: 45199. </w:t>
            </w:r>
          </w:p>
          <w:p w:rsidR="00C34A58" w:rsidRPr="00052263" w:rsidRDefault="00C34A58" w:rsidP="00052263">
            <w:pPr>
              <w:numPr>
                <w:ilvl w:val="0"/>
                <w:numId w:val="1"/>
              </w:numPr>
              <w:rPr>
                <w:b/>
                <w:bCs/>
                <w:szCs w:val="21"/>
              </w:rPr>
            </w:pPr>
            <w:r w:rsidRPr="00052263">
              <w:rPr>
                <w:color w:val="212121"/>
                <w:szCs w:val="21"/>
                <w:shd w:val="clear" w:color="auto" w:fill="FFFFFF"/>
              </w:rPr>
              <w:t>Chen Y, He H, Pan P, He S, Dong X, Chen Y, Wang S, Yu D. Rapid and combined detection of Mycoplasma pneumoniae, Epstein-Barr virus and human cytomegalovirus using AllGlo quadruplex quantitative PCR. J Med Microbiol. 2016 Jul;65(7):590-595. doi: 10.1099/jmm.0.000266. Epub 2016 Apr 19. PMID: 27093597.</w:t>
            </w:r>
            <w:r w:rsidRPr="00052263">
              <w:rPr>
                <w:szCs w:val="21"/>
              </w:rPr>
              <w:t xml:space="preserve"> Med Microbiol. 2016 Jul;65(7):590-5.</w:t>
            </w:r>
          </w:p>
          <w:p w:rsidR="00C34A58" w:rsidRPr="00052263" w:rsidRDefault="00C34A58" w:rsidP="00052263">
            <w:pPr>
              <w:numPr>
                <w:ilvl w:val="0"/>
                <w:numId w:val="1"/>
              </w:numPr>
              <w:rPr>
                <w:szCs w:val="21"/>
              </w:rPr>
            </w:pPr>
            <w:r w:rsidRPr="00052263">
              <w:rPr>
                <w:szCs w:val="21"/>
              </w:rPr>
              <w:t xml:space="preserve">Songzhe He, Hui He, Yi Chen, Yueming Chen, Wei Wang, </w:t>
            </w:r>
            <w:r w:rsidRPr="00052263">
              <w:rPr>
                <w:b/>
                <w:szCs w:val="21"/>
              </w:rPr>
              <w:t>Daojun Yu</w:t>
            </w:r>
            <w:r w:rsidRPr="00052263">
              <w:rPr>
                <w:szCs w:val="21"/>
              </w:rPr>
              <w:t xml:space="preserve"> In vitro and in vivo analysis of antimicrobial agents alone and in combination against multi-drug resistant Acinetobacter baumannii. </w:t>
            </w:r>
            <w:hyperlink r:id="rId8" w:tooltip="Frontiers in microbiology." w:history="1">
              <w:r w:rsidRPr="00052263">
                <w:rPr>
                  <w:szCs w:val="21"/>
                </w:rPr>
                <w:t>Frontier in Microbiology.</w:t>
              </w:r>
            </w:hyperlink>
            <w:r w:rsidRPr="00052263">
              <w:rPr>
                <w:szCs w:val="21"/>
              </w:rPr>
              <w:t xml:space="preserve"> </w:t>
            </w:r>
            <w:r w:rsidRPr="00052263">
              <w:rPr>
                <w:rFonts w:hAnsi="宋体"/>
                <w:szCs w:val="21"/>
              </w:rPr>
              <w:t>，</w:t>
            </w:r>
            <w:r w:rsidRPr="00052263">
              <w:rPr>
                <w:szCs w:val="21"/>
              </w:rPr>
              <w:t>2015 May 27;6:507.</w:t>
            </w:r>
            <w:r w:rsidRPr="00052263">
              <w:rPr>
                <w:b/>
                <w:bCs/>
                <w:szCs w:val="21"/>
              </w:rPr>
              <w:t xml:space="preserve"> </w:t>
            </w:r>
          </w:p>
          <w:p w:rsidR="00975759" w:rsidRDefault="00C34A58" w:rsidP="00052263">
            <w:pPr>
              <w:numPr>
                <w:ilvl w:val="0"/>
                <w:numId w:val="1"/>
              </w:numPr>
              <w:rPr>
                <w:rFonts w:eastAsia="仿宋_GB2312"/>
                <w:bCs/>
                <w:sz w:val="24"/>
                <w:szCs w:val="24"/>
              </w:rPr>
            </w:pPr>
            <w:r w:rsidRPr="00052263">
              <w:rPr>
                <w:szCs w:val="21"/>
              </w:rPr>
              <w:t>Daojun Yu , Shenghai Wu , Baohong Wanga ,Yunbo Chena , Lanjuan Li.Rapid detection of common viruses using multi-analyte suspension arrays. Journal  of  Virological  Methods. 2011,177(1):64-70.</w:t>
            </w:r>
          </w:p>
        </w:tc>
      </w:tr>
      <w:tr w:rsidR="00975759" w:rsidTr="001C76C5">
        <w:trPr>
          <w:trHeight w:val="1958"/>
        </w:trPr>
        <w:tc>
          <w:tcPr>
            <w:tcW w:w="2269" w:type="dxa"/>
            <w:tcBorders>
              <w:right w:val="single" w:sz="4" w:space="0" w:color="auto"/>
            </w:tcBorders>
            <w:vAlign w:val="center"/>
          </w:tcPr>
          <w:p w:rsidR="00975759" w:rsidRDefault="00975759" w:rsidP="001438F5">
            <w:pPr>
              <w:jc w:val="center"/>
              <w:rPr>
                <w:rFonts w:eastAsia="仿宋_GB2312"/>
                <w:bCs/>
                <w:sz w:val="28"/>
                <w:szCs w:val="24"/>
              </w:rPr>
            </w:pPr>
            <w:r w:rsidRPr="001438F5">
              <w:rPr>
                <w:rStyle w:val="title1"/>
                <w:sz w:val="28"/>
              </w:rPr>
              <w:lastRenderedPageBreak/>
              <w:t>主要完成人</w:t>
            </w:r>
          </w:p>
        </w:tc>
        <w:tc>
          <w:tcPr>
            <w:tcW w:w="6237" w:type="dxa"/>
            <w:tcBorders>
              <w:left w:val="single" w:sz="4" w:space="0" w:color="auto"/>
            </w:tcBorders>
            <w:vAlign w:val="center"/>
          </w:tcPr>
          <w:p w:rsidR="00975759" w:rsidRDefault="00C34A58" w:rsidP="001C76C5">
            <w:pPr>
              <w:spacing w:line="440" w:lineRule="exact"/>
              <w:rPr>
                <w:rFonts w:eastAsia="仿宋_GB2312"/>
                <w:bCs/>
                <w:sz w:val="24"/>
                <w:szCs w:val="24"/>
              </w:rPr>
            </w:pPr>
            <w:r>
              <w:rPr>
                <w:rFonts w:eastAsia="仿宋_GB2312" w:hint="eastAsia"/>
                <w:bCs/>
                <w:sz w:val="24"/>
                <w:szCs w:val="24"/>
              </w:rPr>
              <w:t>余道军</w:t>
            </w:r>
            <w:r w:rsidR="00975759">
              <w:rPr>
                <w:rFonts w:eastAsia="仿宋_GB2312"/>
                <w:bCs/>
                <w:sz w:val="24"/>
                <w:szCs w:val="24"/>
              </w:rPr>
              <w:t>，</w:t>
            </w:r>
            <w:r>
              <w:rPr>
                <w:rFonts w:eastAsia="仿宋_GB2312"/>
                <w:bCs/>
                <w:sz w:val="24"/>
                <w:szCs w:val="24"/>
              </w:rPr>
              <w:t>排名</w:t>
            </w:r>
            <w:r>
              <w:rPr>
                <w:rFonts w:eastAsia="仿宋_GB2312" w:hint="eastAsia"/>
                <w:bCs/>
                <w:sz w:val="24"/>
                <w:szCs w:val="24"/>
              </w:rPr>
              <w:t>1</w:t>
            </w:r>
            <w:r>
              <w:rPr>
                <w:rFonts w:eastAsia="仿宋_GB2312" w:hint="eastAsia"/>
                <w:bCs/>
                <w:sz w:val="24"/>
                <w:szCs w:val="24"/>
              </w:rPr>
              <w:t>，主任技师</w:t>
            </w:r>
            <w:r w:rsidR="00975759">
              <w:rPr>
                <w:rFonts w:eastAsia="仿宋_GB2312"/>
                <w:bCs/>
                <w:sz w:val="24"/>
                <w:szCs w:val="24"/>
              </w:rPr>
              <w:t>，</w:t>
            </w:r>
            <w:r>
              <w:rPr>
                <w:rFonts w:eastAsia="仿宋_GB2312" w:hint="eastAsia"/>
                <w:bCs/>
                <w:sz w:val="24"/>
                <w:szCs w:val="24"/>
              </w:rPr>
              <w:t>杭州市第一人民医院</w:t>
            </w:r>
            <w:r w:rsidR="00975759">
              <w:rPr>
                <w:rFonts w:eastAsia="仿宋_GB2312"/>
                <w:bCs/>
                <w:sz w:val="24"/>
                <w:szCs w:val="24"/>
              </w:rPr>
              <w:t>；</w:t>
            </w:r>
          </w:p>
          <w:p w:rsidR="00975759" w:rsidRDefault="00C34A58" w:rsidP="001C76C5">
            <w:pPr>
              <w:spacing w:line="440" w:lineRule="exact"/>
              <w:rPr>
                <w:rFonts w:eastAsia="仿宋_GB2312"/>
                <w:bCs/>
                <w:sz w:val="24"/>
                <w:szCs w:val="24"/>
              </w:rPr>
            </w:pPr>
            <w:r>
              <w:rPr>
                <w:rFonts w:eastAsia="仿宋_GB2312" w:hint="eastAsia"/>
                <w:bCs/>
                <w:sz w:val="24"/>
                <w:szCs w:val="24"/>
              </w:rPr>
              <w:t>董学妍</w:t>
            </w:r>
            <w:r w:rsidR="00975759">
              <w:rPr>
                <w:rFonts w:eastAsia="仿宋_GB2312"/>
                <w:bCs/>
                <w:sz w:val="24"/>
                <w:szCs w:val="24"/>
              </w:rPr>
              <w:t>，</w:t>
            </w:r>
            <w:r>
              <w:rPr>
                <w:rFonts w:eastAsia="仿宋_GB2312"/>
                <w:bCs/>
                <w:sz w:val="24"/>
                <w:szCs w:val="24"/>
              </w:rPr>
              <w:t>排名</w:t>
            </w:r>
            <w:r>
              <w:rPr>
                <w:rFonts w:eastAsia="仿宋_GB2312" w:hint="eastAsia"/>
                <w:bCs/>
                <w:sz w:val="24"/>
                <w:szCs w:val="24"/>
              </w:rPr>
              <w:t>2</w:t>
            </w:r>
            <w:r>
              <w:rPr>
                <w:rFonts w:eastAsia="仿宋_GB2312" w:hint="eastAsia"/>
                <w:bCs/>
                <w:sz w:val="24"/>
                <w:szCs w:val="24"/>
              </w:rPr>
              <w:t>，副主任技师</w:t>
            </w:r>
            <w:r w:rsidR="00975759">
              <w:rPr>
                <w:rFonts w:eastAsia="仿宋_GB2312"/>
                <w:bCs/>
                <w:sz w:val="24"/>
                <w:szCs w:val="24"/>
              </w:rPr>
              <w:t>，</w:t>
            </w:r>
            <w:r>
              <w:rPr>
                <w:rFonts w:eastAsia="仿宋_GB2312" w:hint="eastAsia"/>
                <w:bCs/>
                <w:sz w:val="24"/>
                <w:szCs w:val="24"/>
              </w:rPr>
              <w:t>杭州市第一人民医院</w:t>
            </w:r>
            <w:r w:rsidR="00975759">
              <w:rPr>
                <w:rFonts w:eastAsia="仿宋_GB2312"/>
                <w:bCs/>
                <w:sz w:val="24"/>
                <w:szCs w:val="24"/>
              </w:rPr>
              <w:t>；</w:t>
            </w:r>
          </w:p>
          <w:p w:rsidR="00975759" w:rsidRDefault="00C34A58" w:rsidP="001C76C5">
            <w:pPr>
              <w:spacing w:line="440" w:lineRule="exact"/>
              <w:rPr>
                <w:rFonts w:eastAsia="仿宋_GB2312"/>
                <w:bCs/>
                <w:sz w:val="24"/>
                <w:szCs w:val="24"/>
              </w:rPr>
            </w:pPr>
            <w:r>
              <w:rPr>
                <w:rFonts w:eastAsia="仿宋_GB2312" w:hint="eastAsia"/>
                <w:bCs/>
                <w:sz w:val="24"/>
                <w:szCs w:val="24"/>
              </w:rPr>
              <w:t>陈懿，</w:t>
            </w:r>
            <w:r w:rsidR="00975759">
              <w:rPr>
                <w:rFonts w:eastAsia="仿宋_GB2312"/>
                <w:bCs/>
                <w:sz w:val="24"/>
                <w:szCs w:val="24"/>
              </w:rPr>
              <w:t>排名</w:t>
            </w:r>
            <w:r w:rsidR="00975759">
              <w:rPr>
                <w:rFonts w:eastAsia="仿宋_GB2312"/>
                <w:bCs/>
                <w:sz w:val="24"/>
                <w:szCs w:val="24"/>
              </w:rPr>
              <w:t>3</w:t>
            </w:r>
            <w:r w:rsidR="00975759">
              <w:rPr>
                <w:rFonts w:eastAsia="仿宋_GB2312"/>
                <w:bCs/>
                <w:sz w:val="24"/>
                <w:szCs w:val="24"/>
              </w:rPr>
              <w:t>，</w:t>
            </w:r>
            <w:r>
              <w:rPr>
                <w:rFonts w:eastAsia="仿宋_GB2312" w:hint="eastAsia"/>
                <w:bCs/>
                <w:sz w:val="24"/>
                <w:szCs w:val="24"/>
              </w:rPr>
              <w:t>技师</w:t>
            </w:r>
            <w:r w:rsidR="00975759">
              <w:rPr>
                <w:rFonts w:eastAsia="仿宋_GB2312"/>
                <w:bCs/>
                <w:sz w:val="24"/>
                <w:szCs w:val="24"/>
              </w:rPr>
              <w:t>，</w:t>
            </w:r>
            <w:r>
              <w:rPr>
                <w:rFonts w:eastAsia="仿宋_GB2312" w:hint="eastAsia"/>
                <w:bCs/>
                <w:sz w:val="24"/>
                <w:szCs w:val="24"/>
              </w:rPr>
              <w:t>浙江医院</w:t>
            </w:r>
            <w:r w:rsidR="00975759">
              <w:rPr>
                <w:rFonts w:eastAsia="仿宋_GB2312"/>
                <w:bCs/>
                <w:sz w:val="24"/>
                <w:szCs w:val="24"/>
              </w:rPr>
              <w:t>；</w:t>
            </w:r>
          </w:p>
          <w:p w:rsidR="00C34A58" w:rsidRDefault="00C34A58" w:rsidP="001C76C5">
            <w:pPr>
              <w:spacing w:line="440" w:lineRule="exact"/>
              <w:rPr>
                <w:rFonts w:eastAsia="仿宋_GB2312"/>
                <w:bCs/>
                <w:sz w:val="24"/>
                <w:szCs w:val="24"/>
              </w:rPr>
            </w:pPr>
            <w:r>
              <w:rPr>
                <w:rFonts w:eastAsia="仿宋_GB2312" w:hint="eastAsia"/>
                <w:bCs/>
                <w:sz w:val="24"/>
                <w:szCs w:val="24"/>
              </w:rPr>
              <w:t>金伟</w:t>
            </w:r>
            <w:r w:rsidR="008E5621">
              <w:rPr>
                <w:rFonts w:eastAsia="仿宋_GB2312" w:hint="eastAsia"/>
                <w:bCs/>
                <w:sz w:val="24"/>
                <w:szCs w:val="24"/>
              </w:rPr>
              <w:t>锋</w:t>
            </w:r>
            <w:r>
              <w:rPr>
                <w:rFonts w:eastAsia="仿宋_GB2312" w:hint="eastAsia"/>
                <w:bCs/>
                <w:sz w:val="24"/>
                <w:szCs w:val="24"/>
              </w:rPr>
              <w:t>，</w:t>
            </w:r>
            <w:r>
              <w:rPr>
                <w:rFonts w:eastAsia="仿宋_GB2312"/>
                <w:bCs/>
                <w:sz w:val="24"/>
                <w:szCs w:val="24"/>
              </w:rPr>
              <w:t>排名</w:t>
            </w:r>
            <w:r>
              <w:rPr>
                <w:rFonts w:eastAsia="仿宋_GB2312" w:hint="eastAsia"/>
                <w:bCs/>
                <w:sz w:val="24"/>
                <w:szCs w:val="24"/>
              </w:rPr>
              <w:t>4</w:t>
            </w:r>
            <w:r>
              <w:rPr>
                <w:rFonts w:eastAsia="仿宋_GB2312" w:hint="eastAsia"/>
                <w:bCs/>
                <w:sz w:val="24"/>
                <w:szCs w:val="24"/>
              </w:rPr>
              <w:t>，副教授，浙江中医药大学</w:t>
            </w:r>
          </w:p>
          <w:p w:rsidR="00C34A58" w:rsidRDefault="00C34A58" w:rsidP="00C34A58">
            <w:pPr>
              <w:spacing w:line="440" w:lineRule="exact"/>
              <w:rPr>
                <w:rFonts w:eastAsia="仿宋_GB2312"/>
                <w:bCs/>
                <w:sz w:val="24"/>
                <w:szCs w:val="24"/>
              </w:rPr>
            </w:pPr>
            <w:r>
              <w:rPr>
                <w:rFonts w:eastAsia="仿宋_GB2312" w:hint="eastAsia"/>
                <w:bCs/>
                <w:sz w:val="24"/>
                <w:szCs w:val="24"/>
              </w:rPr>
              <w:t>林源吉</w:t>
            </w:r>
            <w:r>
              <w:rPr>
                <w:rFonts w:eastAsia="仿宋_GB2312"/>
                <w:bCs/>
                <w:sz w:val="24"/>
                <w:szCs w:val="24"/>
              </w:rPr>
              <w:t>，排名</w:t>
            </w:r>
            <w:r>
              <w:rPr>
                <w:rFonts w:eastAsia="仿宋_GB2312" w:hint="eastAsia"/>
                <w:bCs/>
                <w:sz w:val="24"/>
                <w:szCs w:val="24"/>
              </w:rPr>
              <w:t>5</w:t>
            </w:r>
            <w:r>
              <w:rPr>
                <w:rFonts w:eastAsia="仿宋_GB2312" w:hint="eastAsia"/>
                <w:bCs/>
                <w:sz w:val="24"/>
                <w:szCs w:val="24"/>
              </w:rPr>
              <w:t>，</w:t>
            </w:r>
            <w:r w:rsidR="001438F5" w:rsidRPr="001438F5">
              <w:rPr>
                <w:rFonts w:eastAsia="仿宋_GB2312" w:hint="eastAsia"/>
                <w:bCs/>
                <w:sz w:val="24"/>
                <w:szCs w:val="24"/>
              </w:rPr>
              <w:t>高级工程师</w:t>
            </w:r>
            <w:r>
              <w:rPr>
                <w:rFonts w:eastAsia="仿宋_GB2312"/>
                <w:bCs/>
                <w:sz w:val="24"/>
                <w:szCs w:val="24"/>
              </w:rPr>
              <w:t>，</w:t>
            </w:r>
            <w:r w:rsidRPr="00C34A58">
              <w:rPr>
                <w:rFonts w:eastAsia="仿宋_GB2312" w:hint="eastAsia"/>
                <w:bCs/>
                <w:sz w:val="24"/>
                <w:szCs w:val="24"/>
              </w:rPr>
              <w:t>苏州中加康美科技有限公司</w:t>
            </w:r>
            <w:r>
              <w:rPr>
                <w:rFonts w:eastAsia="仿宋_GB2312"/>
                <w:bCs/>
                <w:sz w:val="24"/>
                <w:szCs w:val="24"/>
              </w:rPr>
              <w:t>；</w:t>
            </w:r>
          </w:p>
          <w:p w:rsidR="00C34A58" w:rsidRDefault="00C34A58" w:rsidP="00C34A58">
            <w:pPr>
              <w:spacing w:line="440" w:lineRule="exact"/>
              <w:rPr>
                <w:rFonts w:eastAsia="仿宋_GB2312"/>
                <w:bCs/>
                <w:sz w:val="24"/>
                <w:szCs w:val="24"/>
              </w:rPr>
            </w:pPr>
            <w:r>
              <w:rPr>
                <w:rFonts w:eastAsia="仿宋_GB2312" w:hint="eastAsia"/>
                <w:bCs/>
                <w:sz w:val="24"/>
                <w:szCs w:val="24"/>
              </w:rPr>
              <w:t>吴盛海，</w:t>
            </w:r>
            <w:r>
              <w:rPr>
                <w:rFonts w:eastAsia="仿宋_GB2312"/>
                <w:bCs/>
                <w:sz w:val="24"/>
                <w:szCs w:val="24"/>
              </w:rPr>
              <w:t>排名</w:t>
            </w:r>
            <w:r w:rsidR="00B401DF">
              <w:rPr>
                <w:rFonts w:eastAsia="仿宋_GB2312" w:hint="eastAsia"/>
                <w:bCs/>
                <w:sz w:val="24"/>
                <w:szCs w:val="24"/>
              </w:rPr>
              <w:t>6</w:t>
            </w:r>
            <w:r>
              <w:rPr>
                <w:rFonts w:eastAsia="仿宋_GB2312"/>
                <w:bCs/>
                <w:sz w:val="24"/>
                <w:szCs w:val="24"/>
              </w:rPr>
              <w:t>，</w:t>
            </w:r>
            <w:r>
              <w:rPr>
                <w:rFonts w:eastAsia="仿宋_GB2312" w:hint="eastAsia"/>
                <w:bCs/>
                <w:sz w:val="24"/>
                <w:szCs w:val="24"/>
              </w:rPr>
              <w:t>主任技师</w:t>
            </w:r>
            <w:r>
              <w:rPr>
                <w:rFonts w:eastAsia="仿宋_GB2312"/>
                <w:bCs/>
                <w:sz w:val="24"/>
                <w:szCs w:val="24"/>
              </w:rPr>
              <w:t>，</w:t>
            </w:r>
            <w:r>
              <w:rPr>
                <w:rFonts w:eastAsia="仿宋_GB2312" w:hint="eastAsia"/>
                <w:bCs/>
                <w:sz w:val="24"/>
                <w:szCs w:val="24"/>
              </w:rPr>
              <w:t>杭州市第一人民医院</w:t>
            </w:r>
            <w:r>
              <w:rPr>
                <w:rFonts w:eastAsia="仿宋_GB2312"/>
                <w:bCs/>
                <w:sz w:val="24"/>
                <w:szCs w:val="24"/>
              </w:rPr>
              <w:t>；</w:t>
            </w:r>
          </w:p>
          <w:p w:rsidR="00C34A58" w:rsidRDefault="00C34A58" w:rsidP="00C34A58">
            <w:pPr>
              <w:spacing w:line="440" w:lineRule="exact"/>
              <w:rPr>
                <w:rFonts w:eastAsia="仿宋_GB2312"/>
                <w:bCs/>
                <w:sz w:val="24"/>
                <w:szCs w:val="24"/>
              </w:rPr>
            </w:pPr>
            <w:r>
              <w:rPr>
                <w:rFonts w:eastAsia="仿宋_GB2312" w:hint="eastAsia"/>
                <w:bCs/>
                <w:sz w:val="24"/>
                <w:szCs w:val="24"/>
              </w:rPr>
              <w:t>方翔</w:t>
            </w:r>
            <w:r w:rsidR="00B401DF">
              <w:rPr>
                <w:rFonts w:eastAsia="仿宋_GB2312" w:hint="eastAsia"/>
                <w:bCs/>
                <w:sz w:val="24"/>
                <w:szCs w:val="24"/>
              </w:rPr>
              <w:t>，</w:t>
            </w:r>
            <w:r>
              <w:rPr>
                <w:rFonts w:eastAsia="仿宋_GB2312"/>
                <w:bCs/>
                <w:sz w:val="24"/>
                <w:szCs w:val="24"/>
              </w:rPr>
              <w:t>排名</w:t>
            </w:r>
            <w:r w:rsidR="00B401DF">
              <w:rPr>
                <w:rFonts w:eastAsia="仿宋_GB2312" w:hint="eastAsia"/>
                <w:bCs/>
                <w:sz w:val="24"/>
                <w:szCs w:val="24"/>
              </w:rPr>
              <w:t>7</w:t>
            </w:r>
            <w:r>
              <w:rPr>
                <w:rFonts w:eastAsia="仿宋_GB2312" w:hint="eastAsia"/>
                <w:bCs/>
                <w:sz w:val="24"/>
                <w:szCs w:val="24"/>
              </w:rPr>
              <w:t>，主管技师，杭州市第一人民医院</w:t>
            </w:r>
            <w:r>
              <w:rPr>
                <w:rFonts w:eastAsia="仿宋_GB2312"/>
                <w:bCs/>
                <w:sz w:val="24"/>
                <w:szCs w:val="24"/>
              </w:rPr>
              <w:t>；</w:t>
            </w:r>
          </w:p>
          <w:p w:rsidR="00975759" w:rsidRDefault="00C34A58" w:rsidP="00B401DF">
            <w:pPr>
              <w:spacing w:line="440" w:lineRule="exact"/>
              <w:rPr>
                <w:rFonts w:eastAsia="仿宋_GB2312"/>
                <w:bCs/>
                <w:sz w:val="24"/>
                <w:szCs w:val="24"/>
              </w:rPr>
            </w:pPr>
            <w:r w:rsidRPr="00C34A58">
              <w:rPr>
                <w:rFonts w:eastAsia="仿宋_GB2312" w:hint="eastAsia"/>
                <w:bCs/>
                <w:sz w:val="24"/>
                <w:szCs w:val="24"/>
              </w:rPr>
              <w:t>逯岭松</w:t>
            </w:r>
            <w:r w:rsidR="00B401DF">
              <w:rPr>
                <w:rFonts w:eastAsia="仿宋_GB2312" w:hint="eastAsia"/>
                <w:bCs/>
                <w:sz w:val="24"/>
                <w:szCs w:val="24"/>
              </w:rPr>
              <w:t>，</w:t>
            </w:r>
            <w:r>
              <w:rPr>
                <w:rFonts w:eastAsia="仿宋_GB2312"/>
                <w:bCs/>
                <w:sz w:val="24"/>
                <w:szCs w:val="24"/>
              </w:rPr>
              <w:t xml:space="preserve"> </w:t>
            </w:r>
            <w:r>
              <w:rPr>
                <w:rFonts w:eastAsia="仿宋_GB2312"/>
                <w:bCs/>
                <w:sz w:val="24"/>
                <w:szCs w:val="24"/>
              </w:rPr>
              <w:t>排名</w:t>
            </w:r>
            <w:r w:rsidR="00B401DF">
              <w:rPr>
                <w:rFonts w:eastAsia="仿宋_GB2312" w:hint="eastAsia"/>
                <w:bCs/>
                <w:sz w:val="24"/>
                <w:szCs w:val="24"/>
              </w:rPr>
              <w:t>8</w:t>
            </w:r>
            <w:r>
              <w:rPr>
                <w:rFonts w:eastAsia="仿宋_GB2312" w:hint="eastAsia"/>
                <w:bCs/>
                <w:sz w:val="24"/>
                <w:szCs w:val="24"/>
              </w:rPr>
              <w:t>，</w:t>
            </w:r>
            <w:r w:rsidR="00B401DF">
              <w:rPr>
                <w:rFonts w:eastAsia="仿宋_GB2312" w:hint="eastAsia"/>
                <w:bCs/>
                <w:sz w:val="24"/>
                <w:szCs w:val="24"/>
              </w:rPr>
              <w:t>副主任技师</w:t>
            </w:r>
            <w:r>
              <w:rPr>
                <w:rFonts w:eastAsia="仿宋_GB2312" w:hint="eastAsia"/>
                <w:bCs/>
                <w:sz w:val="24"/>
                <w:szCs w:val="24"/>
              </w:rPr>
              <w:t>，杭州市第一人民医院</w:t>
            </w:r>
            <w:r>
              <w:rPr>
                <w:rFonts w:eastAsia="仿宋_GB2312"/>
                <w:bCs/>
                <w:sz w:val="24"/>
                <w:szCs w:val="24"/>
              </w:rPr>
              <w:t>；</w:t>
            </w:r>
          </w:p>
          <w:p w:rsidR="00B401DF" w:rsidRDefault="00B401DF" w:rsidP="00B401DF">
            <w:pPr>
              <w:spacing w:line="440" w:lineRule="exact"/>
              <w:rPr>
                <w:rFonts w:eastAsia="仿宋_GB2312"/>
                <w:bCs/>
                <w:sz w:val="24"/>
                <w:szCs w:val="24"/>
              </w:rPr>
            </w:pPr>
            <w:r w:rsidRPr="00C34A58">
              <w:rPr>
                <w:rFonts w:eastAsia="仿宋_GB2312" w:hint="eastAsia"/>
                <w:bCs/>
                <w:sz w:val="24"/>
                <w:szCs w:val="24"/>
              </w:rPr>
              <w:t>张金泉</w:t>
            </w:r>
            <w:r>
              <w:rPr>
                <w:rFonts w:eastAsia="仿宋_GB2312"/>
                <w:bCs/>
                <w:sz w:val="24"/>
                <w:szCs w:val="24"/>
              </w:rPr>
              <w:t>，排名</w:t>
            </w:r>
            <w:r>
              <w:rPr>
                <w:rFonts w:eastAsia="仿宋_GB2312" w:hint="eastAsia"/>
                <w:bCs/>
                <w:sz w:val="24"/>
                <w:szCs w:val="24"/>
              </w:rPr>
              <w:t>9</w:t>
            </w:r>
            <w:r>
              <w:rPr>
                <w:rFonts w:eastAsia="仿宋_GB2312" w:hint="eastAsia"/>
                <w:bCs/>
                <w:sz w:val="24"/>
                <w:szCs w:val="24"/>
              </w:rPr>
              <w:t>，副主任技师</w:t>
            </w:r>
            <w:r>
              <w:rPr>
                <w:rFonts w:eastAsia="仿宋_GB2312"/>
                <w:bCs/>
                <w:sz w:val="24"/>
                <w:szCs w:val="24"/>
              </w:rPr>
              <w:t>，</w:t>
            </w:r>
            <w:r w:rsidRPr="00C34A58">
              <w:rPr>
                <w:rFonts w:eastAsia="仿宋_GB2312" w:hint="eastAsia"/>
                <w:bCs/>
                <w:sz w:val="24"/>
                <w:szCs w:val="24"/>
              </w:rPr>
              <w:t>苏州中加康美科技有限公司</w:t>
            </w:r>
            <w:r>
              <w:rPr>
                <w:rFonts w:eastAsia="仿宋_GB2312"/>
                <w:bCs/>
                <w:sz w:val="24"/>
                <w:szCs w:val="24"/>
              </w:rPr>
              <w:t>；</w:t>
            </w:r>
          </w:p>
          <w:p w:rsidR="00B401DF" w:rsidRPr="00B401DF" w:rsidRDefault="00B401DF" w:rsidP="00B401DF">
            <w:pPr>
              <w:spacing w:line="440" w:lineRule="exact"/>
              <w:rPr>
                <w:rFonts w:eastAsia="仿宋_GB2312"/>
                <w:bCs/>
                <w:sz w:val="24"/>
                <w:szCs w:val="24"/>
              </w:rPr>
            </w:pPr>
          </w:p>
        </w:tc>
      </w:tr>
      <w:tr w:rsidR="00975759" w:rsidRPr="00052263" w:rsidTr="001C76C5">
        <w:trPr>
          <w:trHeight w:val="1986"/>
        </w:trPr>
        <w:tc>
          <w:tcPr>
            <w:tcW w:w="2269" w:type="dxa"/>
            <w:tcBorders>
              <w:right w:val="single" w:sz="4" w:space="0" w:color="auto"/>
            </w:tcBorders>
            <w:vAlign w:val="center"/>
          </w:tcPr>
          <w:p w:rsidR="00975759" w:rsidRPr="00052263" w:rsidRDefault="00975759" w:rsidP="001C76C5">
            <w:pPr>
              <w:spacing w:line="440" w:lineRule="exact"/>
              <w:jc w:val="center"/>
              <w:rPr>
                <w:rFonts w:ascii="宋体" w:hAnsi="宋体"/>
                <w:sz w:val="24"/>
                <w:szCs w:val="24"/>
              </w:rPr>
            </w:pPr>
            <w:r w:rsidRPr="001438F5">
              <w:rPr>
                <w:rStyle w:val="title1"/>
                <w:rFonts w:eastAsia="仿宋_GB2312"/>
                <w:sz w:val="28"/>
                <w:szCs w:val="28"/>
              </w:rPr>
              <w:t>主要完成单位</w:t>
            </w:r>
          </w:p>
        </w:tc>
        <w:tc>
          <w:tcPr>
            <w:tcW w:w="6237" w:type="dxa"/>
            <w:tcBorders>
              <w:left w:val="single" w:sz="4" w:space="0" w:color="auto"/>
            </w:tcBorders>
            <w:vAlign w:val="center"/>
          </w:tcPr>
          <w:p w:rsidR="00975759" w:rsidRPr="00052263" w:rsidRDefault="00975759" w:rsidP="001C76C5">
            <w:pPr>
              <w:spacing w:line="440" w:lineRule="exact"/>
              <w:jc w:val="left"/>
              <w:rPr>
                <w:rFonts w:ascii="宋体" w:hAnsi="宋体"/>
                <w:sz w:val="24"/>
                <w:szCs w:val="24"/>
              </w:rPr>
            </w:pPr>
            <w:r w:rsidRPr="00052263">
              <w:rPr>
                <w:rFonts w:ascii="宋体" w:hAnsi="宋体"/>
                <w:sz w:val="24"/>
                <w:szCs w:val="24"/>
              </w:rPr>
              <w:t>1.单位名称：</w:t>
            </w:r>
            <w:r w:rsidR="00E72B41" w:rsidRPr="00052263">
              <w:rPr>
                <w:rFonts w:ascii="宋体" w:hAnsi="宋体" w:hint="eastAsia"/>
                <w:sz w:val="24"/>
                <w:szCs w:val="24"/>
              </w:rPr>
              <w:t>杭州市第一人民医院</w:t>
            </w:r>
          </w:p>
          <w:p w:rsidR="00975759" w:rsidRPr="00052263" w:rsidRDefault="00975759" w:rsidP="001C76C5">
            <w:pPr>
              <w:spacing w:line="440" w:lineRule="exact"/>
              <w:jc w:val="left"/>
              <w:rPr>
                <w:rFonts w:ascii="宋体" w:hAnsi="宋体"/>
                <w:sz w:val="24"/>
                <w:szCs w:val="24"/>
              </w:rPr>
            </w:pPr>
            <w:r w:rsidRPr="00052263">
              <w:rPr>
                <w:rFonts w:ascii="宋体" w:hAnsi="宋体"/>
                <w:sz w:val="24"/>
                <w:szCs w:val="24"/>
              </w:rPr>
              <w:t>2.单位名称：</w:t>
            </w:r>
            <w:r w:rsidR="00E72B41" w:rsidRPr="00052263">
              <w:rPr>
                <w:rFonts w:ascii="宋体" w:hAnsi="宋体" w:hint="eastAsia"/>
                <w:sz w:val="24"/>
                <w:szCs w:val="24"/>
              </w:rPr>
              <w:t>浙江医院</w:t>
            </w:r>
          </w:p>
          <w:p w:rsidR="00975759" w:rsidRPr="00052263" w:rsidRDefault="00975759" w:rsidP="001C76C5">
            <w:pPr>
              <w:spacing w:line="440" w:lineRule="exact"/>
              <w:jc w:val="left"/>
              <w:rPr>
                <w:rFonts w:ascii="宋体" w:hAnsi="宋体"/>
                <w:sz w:val="24"/>
                <w:szCs w:val="24"/>
              </w:rPr>
            </w:pPr>
            <w:r w:rsidRPr="00052263">
              <w:rPr>
                <w:rFonts w:ascii="宋体" w:hAnsi="宋体"/>
                <w:sz w:val="24"/>
                <w:szCs w:val="24"/>
              </w:rPr>
              <w:t>3.单位名称：</w:t>
            </w:r>
            <w:r w:rsidR="00E72B41" w:rsidRPr="00052263">
              <w:rPr>
                <w:rFonts w:ascii="宋体" w:hAnsi="宋体" w:hint="eastAsia"/>
                <w:sz w:val="24"/>
                <w:szCs w:val="24"/>
              </w:rPr>
              <w:t>浙江中医药大学</w:t>
            </w:r>
          </w:p>
          <w:p w:rsidR="00975759" w:rsidRPr="00052263" w:rsidRDefault="00E72B41" w:rsidP="001C76C5">
            <w:pPr>
              <w:spacing w:line="440" w:lineRule="exact"/>
              <w:jc w:val="left"/>
              <w:rPr>
                <w:rFonts w:ascii="宋体" w:hAnsi="宋体"/>
                <w:sz w:val="24"/>
                <w:szCs w:val="24"/>
              </w:rPr>
            </w:pPr>
            <w:r w:rsidRPr="00052263">
              <w:rPr>
                <w:rFonts w:ascii="宋体" w:hAnsi="宋体" w:hint="eastAsia"/>
                <w:sz w:val="24"/>
                <w:szCs w:val="24"/>
              </w:rPr>
              <w:t>4. 苏州中加康美科技有限公司</w:t>
            </w:r>
          </w:p>
        </w:tc>
      </w:tr>
      <w:tr w:rsidR="00975759" w:rsidTr="001C76C5">
        <w:trPr>
          <w:trHeight w:val="692"/>
        </w:trPr>
        <w:tc>
          <w:tcPr>
            <w:tcW w:w="2269" w:type="dxa"/>
            <w:vAlign w:val="center"/>
          </w:tcPr>
          <w:p w:rsidR="00975759" w:rsidRDefault="00975759" w:rsidP="001C76C5">
            <w:pPr>
              <w:jc w:val="center"/>
              <w:rPr>
                <w:rStyle w:val="title1"/>
                <w:rFonts w:eastAsia="仿宋_GB2312"/>
                <w:b w:val="0"/>
                <w:sz w:val="28"/>
                <w:szCs w:val="28"/>
              </w:rPr>
            </w:pPr>
            <w:r>
              <w:rPr>
                <w:rStyle w:val="title1"/>
                <w:rFonts w:eastAsia="仿宋_GB2312"/>
                <w:sz w:val="28"/>
                <w:szCs w:val="28"/>
              </w:rPr>
              <w:t>提名单位</w:t>
            </w:r>
          </w:p>
        </w:tc>
        <w:tc>
          <w:tcPr>
            <w:tcW w:w="6237" w:type="dxa"/>
            <w:vAlign w:val="center"/>
          </w:tcPr>
          <w:p w:rsidR="00975759" w:rsidRPr="00052263" w:rsidRDefault="00E72B41" w:rsidP="008E5621">
            <w:pPr>
              <w:contextualSpacing/>
              <w:jc w:val="center"/>
              <w:rPr>
                <w:rStyle w:val="title1"/>
                <w:rFonts w:ascii="宋体" w:hAnsi="宋体"/>
                <w:b w:val="0"/>
              </w:rPr>
            </w:pPr>
            <w:r w:rsidRPr="00052263">
              <w:rPr>
                <w:rFonts w:ascii="宋体" w:hAnsi="宋体" w:hint="eastAsia"/>
                <w:sz w:val="24"/>
                <w:szCs w:val="24"/>
              </w:rPr>
              <w:t>杭州市</w:t>
            </w:r>
            <w:r w:rsidR="008E5621">
              <w:rPr>
                <w:rFonts w:ascii="宋体" w:hAnsi="宋体" w:hint="eastAsia"/>
                <w:sz w:val="24"/>
                <w:szCs w:val="24"/>
              </w:rPr>
              <w:t>人民政府</w:t>
            </w:r>
          </w:p>
        </w:tc>
      </w:tr>
      <w:tr w:rsidR="00975759" w:rsidTr="001C76C5">
        <w:trPr>
          <w:trHeight w:val="3683"/>
        </w:trPr>
        <w:tc>
          <w:tcPr>
            <w:tcW w:w="2269" w:type="dxa"/>
            <w:vAlign w:val="center"/>
          </w:tcPr>
          <w:p w:rsidR="00975759" w:rsidRDefault="00975759" w:rsidP="001C76C5">
            <w:pPr>
              <w:jc w:val="center"/>
              <w:rPr>
                <w:rStyle w:val="title1"/>
                <w:rFonts w:eastAsia="仿宋_GB2312"/>
                <w:b w:val="0"/>
                <w:sz w:val="28"/>
                <w:szCs w:val="28"/>
              </w:rPr>
            </w:pPr>
            <w:r>
              <w:rPr>
                <w:rStyle w:val="title1"/>
                <w:rFonts w:eastAsia="仿宋_GB2312"/>
                <w:sz w:val="28"/>
                <w:szCs w:val="28"/>
              </w:rPr>
              <w:t>提名意见</w:t>
            </w:r>
          </w:p>
        </w:tc>
        <w:tc>
          <w:tcPr>
            <w:tcW w:w="6237" w:type="dxa"/>
            <w:vAlign w:val="center"/>
          </w:tcPr>
          <w:p w:rsidR="00975759" w:rsidRPr="00052263" w:rsidRDefault="00587444" w:rsidP="00052263">
            <w:pPr>
              <w:ind w:firstLineChars="200" w:firstLine="480"/>
              <w:jc w:val="left"/>
              <w:rPr>
                <w:rFonts w:ascii="宋体" w:hAnsi="宋体"/>
                <w:sz w:val="24"/>
                <w:szCs w:val="24"/>
              </w:rPr>
            </w:pPr>
            <w:r w:rsidRPr="00052263">
              <w:rPr>
                <w:rFonts w:ascii="宋体" w:hAnsi="宋体" w:hint="eastAsia"/>
                <w:color w:val="000000"/>
                <w:kern w:val="0"/>
                <w:sz w:val="24"/>
                <w:szCs w:val="24"/>
              </w:rPr>
              <w:t>感染性疾病是</w:t>
            </w:r>
            <w:r w:rsidRPr="00052263">
              <w:rPr>
                <w:rFonts w:ascii="宋体" w:hAnsi="宋体"/>
                <w:color w:val="000000"/>
                <w:kern w:val="0"/>
                <w:sz w:val="24"/>
                <w:szCs w:val="24"/>
              </w:rPr>
              <w:t>威胁</w:t>
            </w:r>
            <w:r w:rsidRPr="00052263">
              <w:rPr>
                <w:rFonts w:ascii="宋体" w:hAnsi="宋体" w:hint="eastAsia"/>
                <w:color w:val="000000"/>
                <w:kern w:val="0"/>
                <w:sz w:val="24"/>
                <w:szCs w:val="24"/>
              </w:rPr>
              <w:t>人类</w:t>
            </w:r>
            <w:r w:rsidRPr="00052263">
              <w:rPr>
                <w:rFonts w:ascii="宋体" w:hAnsi="宋体"/>
                <w:color w:val="000000"/>
                <w:kern w:val="0"/>
                <w:sz w:val="24"/>
                <w:szCs w:val="24"/>
              </w:rPr>
              <w:t>生命健康的最大杀手</w:t>
            </w:r>
            <w:r w:rsidRPr="00052263">
              <w:rPr>
                <w:rFonts w:ascii="宋体" w:hAnsi="宋体" w:hint="eastAsia"/>
                <w:color w:val="000000"/>
                <w:kern w:val="0"/>
                <w:sz w:val="24"/>
                <w:szCs w:val="24"/>
              </w:rPr>
              <w:t>之一</w:t>
            </w:r>
            <w:r w:rsidRPr="00052263">
              <w:rPr>
                <w:rFonts w:ascii="宋体" w:hAnsi="宋体" w:hint="eastAsia"/>
                <w:sz w:val="24"/>
                <w:szCs w:val="24"/>
              </w:rPr>
              <w:t>，而</w:t>
            </w:r>
            <w:r w:rsidRPr="00052263">
              <w:rPr>
                <w:rFonts w:ascii="宋体" w:hAnsi="宋体"/>
                <w:sz w:val="24"/>
                <w:szCs w:val="24"/>
              </w:rPr>
              <w:t>混合病原体感染</w:t>
            </w:r>
            <w:r w:rsidRPr="00052263">
              <w:rPr>
                <w:rFonts w:ascii="宋体" w:hAnsi="宋体" w:hint="eastAsia"/>
                <w:sz w:val="24"/>
                <w:szCs w:val="24"/>
              </w:rPr>
              <w:t>呼吸系统感染</w:t>
            </w:r>
            <w:r w:rsidRPr="00052263">
              <w:rPr>
                <w:rFonts w:ascii="宋体" w:hAnsi="宋体"/>
                <w:sz w:val="24"/>
                <w:szCs w:val="24"/>
              </w:rPr>
              <w:t>较常见，</w:t>
            </w:r>
            <w:r w:rsidRPr="00052263">
              <w:rPr>
                <w:rFonts w:ascii="宋体" w:hAnsi="宋体" w:hint="eastAsia"/>
                <w:sz w:val="24"/>
                <w:szCs w:val="24"/>
              </w:rPr>
              <w:t>但</w:t>
            </w:r>
            <w:r w:rsidRPr="00052263">
              <w:rPr>
                <w:rFonts w:ascii="宋体" w:hAnsi="宋体"/>
                <w:sz w:val="24"/>
                <w:szCs w:val="24"/>
              </w:rPr>
              <w:t>各病原体之间常难以鉴别诊断。本项目采用</w:t>
            </w:r>
            <w:r w:rsidRPr="00052263">
              <w:rPr>
                <w:rFonts w:ascii="宋体" w:hAnsi="宋体"/>
                <w:kern w:val="0"/>
                <w:sz w:val="24"/>
                <w:szCs w:val="24"/>
              </w:rPr>
              <w:t>AllGlo探针</w:t>
            </w:r>
            <w:r w:rsidRPr="00052263">
              <w:rPr>
                <w:rFonts w:ascii="宋体" w:hAnsi="宋体"/>
                <w:sz w:val="24"/>
                <w:szCs w:val="24"/>
              </w:rPr>
              <w:t>多重定量PCR等方法，</w:t>
            </w:r>
            <w:r w:rsidRPr="00052263">
              <w:rPr>
                <w:rFonts w:ascii="宋体" w:hAnsi="宋体" w:hint="eastAsia"/>
                <w:sz w:val="24"/>
                <w:szCs w:val="24"/>
              </w:rPr>
              <w:t>建立了基于多重定量PCR技术快速联检感染性疾病病原体的诊断试剂盒，用于社区获得性肺炎、小儿肺炎等病原体的快速诊断和鉴别诊断。该项目基于多重定量PCR技术研发分子诊断试剂</w:t>
            </w:r>
            <w:r w:rsidRPr="00052263">
              <w:rPr>
                <w:rFonts w:ascii="宋体" w:hAnsi="宋体"/>
                <w:sz w:val="24"/>
                <w:szCs w:val="24"/>
              </w:rPr>
              <w:t>操作简单</w:t>
            </w:r>
            <w:r w:rsidRPr="00052263">
              <w:rPr>
                <w:rFonts w:ascii="宋体" w:hAnsi="宋体" w:hint="eastAsia"/>
                <w:sz w:val="24"/>
                <w:szCs w:val="24"/>
              </w:rPr>
              <w:t>、</w:t>
            </w:r>
            <w:r w:rsidRPr="00052263">
              <w:rPr>
                <w:rFonts w:ascii="宋体" w:hAnsi="宋体"/>
                <w:sz w:val="24"/>
                <w:szCs w:val="24"/>
              </w:rPr>
              <w:t>安全快速</w:t>
            </w:r>
            <w:r w:rsidRPr="00052263">
              <w:rPr>
                <w:rFonts w:ascii="宋体" w:hAnsi="宋体" w:hint="eastAsia"/>
                <w:sz w:val="24"/>
                <w:szCs w:val="24"/>
              </w:rPr>
              <w:t>、结果准确、</w:t>
            </w:r>
            <w:r w:rsidRPr="00052263">
              <w:rPr>
                <w:rFonts w:ascii="宋体" w:hAnsi="宋体"/>
                <w:sz w:val="24"/>
                <w:szCs w:val="24"/>
              </w:rPr>
              <w:t>实用性强</w:t>
            </w:r>
            <w:r w:rsidRPr="00052263">
              <w:rPr>
                <w:rFonts w:ascii="宋体" w:hAnsi="宋体" w:hint="eastAsia"/>
                <w:sz w:val="24"/>
                <w:szCs w:val="24"/>
              </w:rPr>
              <w:t>，具有良好的的社会效应和经济效益。</w:t>
            </w:r>
            <w:r w:rsidR="00052263" w:rsidRPr="00052263">
              <w:rPr>
                <w:rFonts w:ascii="宋体" w:hAnsi="宋体" w:hint="eastAsia"/>
                <w:sz w:val="24"/>
                <w:szCs w:val="24"/>
              </w:rPr>
              <w:t>该项目具有系统性和创新性，有很好的应用前景。</w:t>
            </w:r>
          </w:p>
          <w:p w:rsidR="00052263" w:rsidRDefault="00587444" w:rsidP="00052263">
            <w:pPr>
              <w:widowControl/>
              <w:ind w:firstLineChars="200" w:firstLine="480"/>
              <w:jc w:val="left"/>
              <w:rPr>
                <w:rFonts w:ascii="宋体" w:hAnsi="宋体"/>
                <w:sz w:val="24"/>
                <w:szCs w:val="24"/>
              </w:rPr>
            </w:pPr>
            <w:r w:rsidRPr="00052263">
              <w:rPr>
                <w:rFonts w:ascii="宋体" w:hAnsi="宋体"/>
                <w:sz w:val="24"/>
                <w:szCs w:val="24"/>
              </w:rPr>
              <w:t>本项目发表论文</w:t>
            </w:r>
            <w:r w:rsidRPr="00052263">
              <w:rPr>
                <w:rFonts w:ascii="宋体" w:hAnsi="宋体" w:hint="eastAsia"/>
                <w:sz w:val="24"/>
                <w:szCs w:val="24"/>
              </w:rPr>
              <w:t>40</w:t>
            </w:r>
            <w:r w:rsidRPr="00052263">
              <w:rPr>
                <w:rFonts w:ascii="宋体" w:hAnsi="宋体"/>
                <w:sz w:val="24"/>
                <w:szCs w:val="24"/>
              </w:rPr>
              <w:t>篇，其中SCI论文</w:t>
            </w:r>
            <w:r w:rsidRPr="00052263">
              <w:rPr>
                <w:rFonts w:ascii="宋体" w:hAnsi="宋体" w:hint="eastAsia"/>
                <w:sz w:val="24"/>
                <w:szCs w:val="24"/>
              </w:rPr>
              <w:t>8</w:t>
            </w:r>
            <w:r w:rsidRPr="00052263">
              <w:rPr>
                <w:rFonts w:ascii="宋体" w:hAnsi="宋体"/>
                <w:sz w:val="24"/>
                <w:szCs w:val="24"/>
              </w:rPr>
              <w:t>篇，总引用数量达到</w:t>
            </w:r>
            <w:r w:rsidRPr="00052263">
              <w:rPr>
                <w:rFonts w:ascii="宋体" w:hAnsi="宋体" w:hint="eastAsia"/>
                <w:sz w:val="24"/>
                <w:szCs w:val="24"/>
              </w:rPr>
              <w:t>107</w:t>
            </w:r>
            <w:r w:rsidRPr="00052263">
              <w:rPr>
                <w:rFonts w:ascii="宋体" w:hAnsi="宋体"/>
                <w:sz w:val="24"/>
                <w:szCs w:val="24"/>
              </w:rPr>
              <w:t>次，获得授权发明专利</w:t>
            </w:r>
            <w:r w:rsidRPr="00052263">
              <w:rPr>
                <w:rFonts w:ascii="宋体" w:hAnsi="宋体" w:hint="eastAsia"/>
                <w:sz w:val="24"/>
                <w:szCs w:val="24"/>
              </w:rPr>
              <w:t>4</w:t>
            </w:r>
            <w:r w:rsidRPr="00052263">
              <w:rPr>
                <w:rFonts w:ascii="宋体" w:hAnsi="宋体"/>
                <w:sz w:val="24"/>
                <w:szCs w:val="24"/>
              </w:rPr>
              <w:t>项，培养硕士生</w:t>
            </w:r>
            <w:r w:rsidRPr="00052263">
              <w:rPr>
                <w:rFonts w:ascii="宋体" w:hAnsi="宋体" w:hint="eastAsia"/>
                <w:sz w:val="24"/>
                <w:szCs w:val="24"/>
              </w:rPr>
              <w:t>8</w:t>
            </w:r>
            <w:r w:rsidRPr="00052263">
              <w:rPr>
                <w:rFonts w:ascii="宋体" w:hAnsi="宋体"/>
                <w:sz w:val="24"/>
                <w:szCs w:val="24"/>
              </w:rPr>
              <w:t>名</w:t>
            </w:r>
            <w:r w:rsidRPr="00052263">
              <w:rPr>
                <w:rFonts w:ascii="宋体" w:hAnsi="宋体" w:hint="eastAsia"/>
                <w:sz w:val="24"/>
                <w:szCs w:val="24"/>
              </w:rPr>
              <w:t>。</w:t>
            </w:r>
          </w:p>
          <w:p w:rsidR="00587444" w:rsidRPr="00052263" w:rsidRDefault="00587444" w:rsidP="00052263">
            <w:pPr>
              <w:widowControl/>
              <w:ind w:firstLineChars="200" w:firstLine="480"/>
              <w:jc w:val="left"/>
              <w:rPr>
                <w:rFonts w:ascii="宋体" w:hAnsi="宋体"/>
                <w:color w:val="000000"/>
                <w:sz w:val="24"/>
                <w:szCs w:val="24"/>
              </w:rPr>
            </w:pPr>
            <w:r w:rsidRPr="00052263">
              <w:rPr>
                <w:rFonts w:ascii="宋体" w:hAnsi="宋体" w:hint="eastAsia"/>
                <w:sz w:val="24"/>
                <w:szCs w:val="24"/>
              </w:rPr>
              <w:t>同意推荐申报浙江省科技进步二等奖。</w:t>
            </w:r>
          </w:p>
          <w:p w:rsidR="00587444" w:rsidRPr="00587444" w:rsidRDefault="00587444" w:rsidP="00587444">
            <w:pPr>
              <w:tabs>
                <w:tab w:val="left" w:pos="425"/>
              </w:tabs>
              <w:autoSpaceDE w:val="0"/>
              <w:autoSpaceDN w:val="0"/>
              <w:adjustRightInd w:val="0"/>
              <w:ind w:firstLineChars="200" w:firstLine="480"/>
              <w:rPr>
                <w:sz w:val="24"/>
              </w:rPr>
            </w:pPr>
          </w:p>
          <w:p w:rsidR="00587444" w:rsidRPr="00587444" w:rsidRDefault="00587444" w:rsidP="00587444">
            <w:pPr>
              <w:ind w:firstLineChars="200" w:firstLine="480"/>
              <w:jc w:val="left"/>
              <w:rPr>
                <w:rStyle w:val="title1"/>
                <w:b w:val="0"/>
              </w:rPr>
            </w:pPr>
          </w:p>
        </w:tc>
      </w:tr>
    </w:tbl>
    <w:p w:rsidR="00975759" w:rsidRDefault="00975759" w:rsidP="00975759">
      <w:pPr>
        <w:adjustRightInd w:val="0"/>
        <w:snapToGrid w:val="0"/>
        <w:spacing w:line="560" w:lineRule="exact"/>
        <w:rPr>
          <w:rFonts w:eastAsia="仿宋_GB2312"/>
          <w:sz w:val="32"/>
          <w:szCs w:val="32"/>
        </w:rPr>
      </w:pPr>
    </w:p>
    <w:p w:rsidR="00931F59" w:rsidRDefault="00931F59"/>
    <w:sectPr w:rsidR="00931F59" w:rsidSect="00931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760" w:rsidRDefault="00437760" w:rsidP="000D0FC4">
      <w:r>
        <w:separator/>
      </w:r>
    </w:p>
  </w:endnote>
  <w:endnote w:type="continuationSeparator" w:id="1">
    <w:p w:rsidR="00437760" w:rsidRDefault="00437760" w:rsidP="000D0FC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760" w:rsidRDefault="00437760" w:rsidP="000D0FC4">
      <w:r>
        <w:separator/>
      </w:r>
    </w:p>
  </w:footnote>
  <w:footnote w:type="continuationSeparator" w:id="1">
    <w:p w:rsidR="00437760" w:rsidRDefault="00437760" w:rsidP="000D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E63E7"/>
    <w:multiLevelType w:val="hybridMultilevel"/>
    <w:tmpl w:val="DC9A8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759"/>
    <w:rsid w:val="00052263"/>
    <w:rsid w:val="000D0FC4"/>
    <w:rsid w:val="001438F5"/>
    <w:rsid w:val="001E5F79"/>
    <w:rsid w:val="003A271A"/>
    <w:rsid w:val="00437760"/>
    <w:rsid w:val="00587444"/>
    <w:rsid w:val="00696DE8"/>
    <w:rsid w:val="008E5621"/>
    <w:rsid w:val="00931F59"/>
    <w:rsid w:val="00975759"/>
    <w:rsid w:val="00B26D2E"/>
    <w:rsid w:val="00B401DF"/>
    <w:rsid w:val="00BE4CDC"/>
    <w:rsid w:val="00C34A58"/>
    <w:rsid w:val="00C53A13"/>
    <w:rsid w:val="00C76075"/>
    <w:rsid w:val="00E0634F"/>
    <w:rsid w:val="00E376B2"/>
    <w:rsid w:val="00E72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975759"/>
    <w:rPr>
      <w:b/>
      <w:bCs/>
      <w:color w:val="999900"/>
      <w:sz w:val="24"/>
      <w:szCs w:val="24"/>
    </w:rPr>
  </w:style>
  <w:style w:type="paragraph" w:styleId="a3">
    <w:name w:val="header"/>
    <w:basedOn w:val="a"/>
    <w:link w:val="Char"/>
    <w:uiPriority w:val="99"/>
    <w:semiHidden/>
    <w:unhideWhenUsed/>
    <w:rsid w:val="000D0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FC4"/>
    <w:rPr>
      <w:rFonts w:ascii="Times New Roman" w:eastAsia="宋体" w:hAnsi="Times New Roman" w:cs="Times New Roman"/>
      <w:sz w:val="18"/>
      <w:szCs w:val="18"/>
    </w:rPr>
  </w:style>
  <w:style w:type="paragraph" w:styleId="a4">
    <w:name w:val="footer"/>
    <w:basedOn w:val="a"/>
    <w:link w:val="Char0"/>
    <w:uiPriority w:val="99"/>
    <w:semiHidden/>
    <w:unhideWhenUsed/>
    <w:rsid w:val="000D0F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FC4"/>
    <w:rPr>
      <w:rFonts w:ascii="Times New Roman" w:eastAsia="宋体" w:hAnsi="Times New Roman" w:cs="Times New Roman"/>
      <w:sz w:val="18"/>
      <w:szCs w:val="18"/>
    </w:rPr>
  </w:style>
  <w:style w:type="character" w:styleId="a5">
    <w:name w:val="Hyperlink"/>
    <w:basedOn w:val="a0"/>
    <w:rsid w:val="00C34A58"/>
    <w:rPr>
      <w:strike w:val="0"/>
      <w:dstrike w:val="0"/>
      <w:color w:val="000055"/>
      <w:sz w:val="18"/>
      <w:szCs w:val="18"/>
      <w:u w:val="none"/>
    </w:rPr>
  </w:style>
  <w:style w:type="paragraph" w:customStyle="1" w:styleId="desc">
    <w:name w:val="desc"/>
    <w:basedOn w:val="a"/>
    <w:rsid w:val="00C34A58"/>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C34A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074898" TargetMode="External"/><Relationship Id="rId3" Type="http://schemas.openxmlformats.org/officeDocument/2006/relationships/settings" Target="settings.xml"/><Relationship Id="rId7" Type="http://schemas.openxmlformats.org/officeDocument/2006/relationships/hyperlink" Target="https://doi.org/10.1155/2020/82038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374</Words>
  <Characters>2134</Characters>
  <Application>Microsoft Office Word</Application>
  <DocSecurity>0</DocSecurity>
  <Lines>17</Lines>
  <Paragraphs>5</Paragraphs>
  <ScaleCrop>false</ScaleCrop>
  <Company>Windsys.win</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WindsysUser</dc:creator>
  <cp:lastModifiedBy>a</cp:lastModifiedBy>
  <cp:revision>8</cp:revision>
  <dcterms:created xsi:type="dcterms:W3CDTF">2022-02-23T07:14:00Z</dcterms:created>
  <dcterms:modified xsi:type="dcterms:W3CDTF">2022-02-25T02:45:00Z</dcterms:modified>
</cp:coreProperties>
</file>